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otham" w:cs="Gotham" w:eastAsia="Gotham" w:hAnsi="Gotham"/>
          <w:sz w:val="24"/>
          <w:szCs w:val="24"/>
        </w:rPr>
      </w:pPr>
      <w:r w:rsidDel="00000000" w:rsidR="00000000" w:rsidRPr="00000000">
        <w:rPr>
          <w:rtl w:val="0"/>
        </w:rPr>
      </w:r>
    </w:p>
    <w:p w:rsidR="00000000" w:rsidDel="00000000" w:rsidP="00000000" w:rsidRDefault="00000000" w:rsidRPr="00000000" w14:paraId="00000002">
      <w:pPr>
        <w:jc w:val="both"/>
        <w:rPr>
          <w:rFonts w:ascii="Gotham" w:cs="Gotham" w:eastAsia="Gotham" w:hAnsi="Gotham"/>
          <w:b w:val="1"/>
          <w:sz w:val="24"/>
          <w:szCs w:val="24"/>
        </w:rPr>
      </w:pPr>
      <w:r w:rsidDel="00000000" w:rsidR="00000000" w:rsidRPr="00000000">
        <w:rPr>
          <w:rFonts w:ascii="Gotham" w:cs="Gotham" w:eastAsia="Gotham" w:hAnsi="Gotham"/>
          <w:b w:val="1"/>
          <w:sz w:val="24"/>
          <w:szCs w:val="24"/>
          <w:rtl w:val="0"/>
        </w:rPr>
        <w:t xml:space="preserve">NOTA AL CRITERIO HIPERVÍNCULO A LOS FORMATOS RESPECTIVOS.</w:t>
      </w:r>
    </w:p>
    <w:p w:rsidR="00000000" w:rsidDel="00000000" w:rsidP="00000000" w:rsidRDefault="00000000" w:rsidRPr="00000000" w14:paraId="00000003">
      <w:pPr>
        <w:jc w:val="both"/>
        <w:rPr>
          <w:rFonts w:ascii="Gotham" w:cs="Gotham" w:eastAsia="Gotham" w:hAnsi="Gotham"/>
          <w:sz w:val="24"/>
          <w:szCs w:val="24"/>
        </w:rPr>
      </w:pPr>
      <w:r w:rsidDel="00000000" w:rsidR="00000000" w:rsidRPr="00000000">
        <w:rPr>
          <w:rFonts w:ascii="Gotham" w:cs="Gotham" w:eastAsia="Gotham" w:hAnsi="Gotham"/>
          <w:sz w:val="24"/>
          <w:szCs w:val="24"/>
          <w:rtl w:val="0"/>
        </w:rPr>
        <w:t xml:space="preserve">La legislación en materia de transparencia y acceso a la información pública no establecen la obligación de generar formatos para prestar el servicio de orientación.</w:t>
      </w:r>
    </w:p>
    <w:p w:rsidR="00000000" w:rsidDel="00000000" w:rsidP="00000000" w:rsidRDefault="00000000" w:rsidRPr="00000000" w14:paraId="00000004">
      <w:pPr>
        <w:jc w:val="both"/>
        <w:rPr>
          <w:rFonts w:ascii="Gotham" w:cs="Gotham" w:eastAsia="Gotham" w:hAnsi="Gotham"/>
          <w:b w:val="1"/>
          <w:sz w:val="24"/>
          <w:szCs w:val="24"/>
        </w:rPr>
      </w:pPr>
      <w:r w:rsidDel="00000000" w:rsidR="00000000" w:rsidRPr="00000000">
        <w:rPr>
          <w:rFonts w:ascii="Gotham" w:cs="Gotham" w:eastAsia="Gotham" w:hAnsi="Gotham"/>
          <w:b w:val="1"/>
          <w:sz w:val="24"/>
          <w:szCs w:val="24"/>
          <w:rtl w:val="0"/>
        </w:rPr>
        <w:t xml:space="preserve">NOTA A LOS DOCUMENTOS REQUERIDOS PARA LA PRESTACIÓN DEL SERVICIO.</w:t>
      </w:r>
    </w:p>
    <w:p w:rsidR="00000000" w:rsidDel="00000000" w:rsidP="00000000" w:rsidRDefault="00000000" w:rsidRPr="00000000" w14:paraId="00000005">
      <w:pPr>
        <w:jc w:val="both"/>
        <w:rPr>
          <w:rFonts w:ascii="Gotham" w:cs="Gotham" w:eastAsia="Gotham" w:hAnsi="Gotham"/>
          <w:sz w:val="24"/>
          <w:szCs w:val="24"/>
        </w:rPr>
      </w:pPr>
      <w:r w:rsidDel="00000000" w:rsidR="00000000" w:rsidRPr="00000000">
        <w:rPr>
          <w:rFonts w:ascii="Gotham" w:cs="Gotham" w:eastAsia="Gotham" w:hAnsi="Gotham"/>
          <w:sz w:val="24"/>
          <w:szCs w:val="24"/>
          <w:rtl w:val="0"/>
        </w:rPr>
        <w:t xml:space="preserve">Si bien en el servicio de auxilio a particulares en la presentación de solicitudes de acceso a información pública no se requiere documentación alguna; al momento de elaborar una solicitud de acceso a la información se deberá proporcionar lo siguiente:</w:t>
      </w:r>
    </w:p>
    <w:p w:rsidR="00000000" w:rsidDel="00000000" w:rsidP="00000000" w:rsidRDefault="00000000" w:rsidRPr="00000000" w14:paraId="00000006">
      <w:pPr>
        <w:jc w:val="both"/>
        <w:rPr>
          <w:rFonts w:ascii="Gotham" w:cs="Gotham" w:eastAsia="Gotham" w:hAnsi="Gotham"/>
          <w:sz w:val="24"/>
          <w:szCs w:val="24"/>
        </w:rPr>
      </w:pPr>
      <w:r w:rsidDel="00000000" w:rsidR="00000000" w:rsidRPr="00000000">
        <w:rPr>
          <w:rFonts w:ascii="Gotham" w:cs="Gotham" w:eastAsia="Gotham" w:hAnsi="Gotham"/>
          <w:sz w:val="24"/>
          <w:szCs w:val="24"/>
          <w:rtl w:val="0"/>
        </w:rPr>
        <w:t xml:space="preserve">a) Nombre, o en su caso, los datos generales de su representante.</w:t>
      </w:r>
    </w:p>
    <w:p w:rsidR="00000000" w:rsidDel="00000000" w:rsidP="00000000" w:rsidRDefault="00000000" w:rsidRPr="00000000" w14:paraId="00000007">
      <w:pPr>
        <w:jc w:val="both"/>
        <w:rPr>
          <w:rFonts w:ascii="Gotham" w:cs="Gotham" w:eastAsia="Gotham" w:hAnsi="Gotham"/>
          <w:sz w:val="24"/>
          <w:szCs w:val="24"/>
        </w:rPr>
      </w:pPr>
      <w:r w:rsidDel="00000000" w:rsidR="00000000" w:rsidRPr="00000000">
        <w:rPr>
          <w:rFonts w:ascii="Gotham" w:cs="Gotham" w:eastAsia="Gotham" w:hAnsi="Gotham"/>
          <w:sz w:val="24"/>
          <w:szCs w:val="24"/>
          <w:rtl w:val="0"/>
        </w:rPr>
        <w:t xml:space="preserve">b) Domicilio o medio para recibir notificaciones.</w:t>
      </w:r>
    </w:p>
    <w:p w:rsidR="00000000" w:rsidDel="00000000" w:rsidP="00000000" w:rsidRDefault="00000000" w:rsidRPr="00000000" w14:paraId="00000008">
      <w:pPr>
        <w:jc w:val="both"/>
        <w:rPr>
          <w:rFonts w:ascii="Gotham" w:cs="Gotham" w:eastAsia="Gotham" w:hAnsi="Gotham"/>
          <w:sz w:val="24"/>
          <w:szCs w:val="24"/>
        </w:rPr>
      </w:pPr>
      <w:r w:rsidDel="00000000" w:rsidR="00000000" w:rsidRPr="00000000">
        <w:rPr>
          <w:rFonts w:ascii="Gotham" w:cs="Gotham" w:eastAsia="Gotham" w:hAnsi="Gotham"/>
          <w:sz w:val="24"/>
          <w:szCs w:val="24"/>
          <w:rtl w:val="0"/>
        </w:rPr>
        <w:t xml:space="preserve">c) La descripción de la información solicitada.</w:t>
      </w:r>
    </w:p>
    <w:p w:rsidR="00000000" w:rsidDel="00000000" w:rsidP="00000000" w:rsidRDefault="00000000" w:rsidRPr="00000000" w14:paraId="00000009">
      <w:pPr>
        <w:jc w:val="both"/>
        <w:rPr>
          <w:rFonts w:ascii="Gotham" w:cs="Gotham" w:eastAsia="Gotham" w:hAnsi="Gotham"/>
          <w:sz w:val="24"/>
          <w:szCs w:val="24"/>
        </w:rPr>
      </w:pPr>
      <w:r w:rsidDel="00000000" w:rsidR="00000000" w:rsidRPr="00000000">
        <w:rPr>
          <w:rFonts w:ascii="Gotham" w:cs="Gotham" w:eastAsia="Gotham" w:hAnsi="Gotham"/>
          <w:sz w:val="24"/>
          <w:szCs w:val="24"/>
          <w:rtl w:val="0"/>
        </w:rPr>
        <w:t xml:space="preserve">d) Cualquier otro dato que facilite su búsqueda y eventual localización.</w:t>
      </w:r>
    </w:p>
    <w:p w:rsidR="00000000" w:rsidDel="00000000" w:rsidP="00000000" w:rsidRDefault="00000000" w:rsidRPr="00000000" w14:paraId="0000000A">
      <w:pPr>
        <w:jc w:val="both"/>
        <w:rPr>
          <w:rFonts w:ascii="Gotham" w:cs="Gotham" w:eastAsia="Gotham" w:hAnsi="Gotham"/>
          <w:sz w:val="24"/>
          <w:szCs w:val="24"/>
        </w:rPr>
      </w:pPr>
      <w:r w:rsidDel="00000000" w:rsidR="00000000" w:rsidRPr="00000000">
        <w:rPr>
          <w:rFonts w:ascii="Gotham" w:cs="Gotham" w:eastAsia="Gotham" w:hAnsi="Gotham"/>
          <w:sz w:val="24"/>
          <w:szCs w:val="24"/>
          <w:rtl w:val="0"/>
        </w:rPr>
        <w:t xml:space="preserve">e) La modalidad en la que prefiere se le otorgue o entregue la información, la cual podrá ser verbal, siempre y cuando sea para fines de orientación, mediante consulta física directa a través de la expedición de copias simples o certificadas o la reproducción en cualquier otro medio, incluidos los electrónicos.</w:t>
      </w:r>
    </w:p>
    <w:p w:rsidR="00000000" w:rsidDel="00000000" w:rsidP="00000000" w:rsidRDefault="00000000" w:rsidRPr="00000000" w14:paraId="0000000B">
      <w:pPr>
        <w:ind w:firstLine="708"/>
        <w:jc w:val="both"/>
        <w:rPr>
          <w:rFonts w:ascii="Gotham" w:cs="Gotham" w:eastAsia="Gotham" w:hAnsi="Gotham"/>
          <w:sz w:val="24"/>
          <w:szCs w:val="24"/>
        </w:rPr>
      </w:pPr>
      <w:r w:rsidDel="00000000" w:rsidR="00000000" w:rsidRPr="00000000">
        <w:rPr>
          <w:rFonts w:ascii="Gotham" w:cs="Gotham" w:eastAsia="Gotham" w:hAnsi="Gotham"/>
          <w:sz w:val="24"/>
          <w:szCs w:val="24"/>
          <w:rtl w:val="0"/>
        </w:rPr>
        <w:t xml:space="preserve">La información de los incisos a) y d) será proporcionada por el solicitante de manera opcional y, en ningún caso, se considerará como requisito indispensable para la procedencia de la solicitud.</w:t>
      </w:r>
    </w:p>
    <w:p w:rsidR="00000000" w:rsidDel="00000000" w:rsidP="00000000" w:rsidRDefault="00000000" w:rsidRPr="00000000" w14:paraId="0000000C">
      <w:pPr>
        <w:ind w:firstLine="708"/>
        <w:jc w:val="both"/>
        <w:rPr>
          <w:rFonts w:ascii="Gotham" w:cs="Gotham" w:eastAsia="Gotham" w:hAnsi="Gotham"/>
          <w:sz w:val="24"/>
          <w:szCs w:val="24"/>
        </w:rPr>
      </w:pPr>
      <w:r w:rsidDel="00000000" w:rsidR="00000000" w:rsidRPr="00000000">
        <w:rPr>
          <w:rFonts w:ascii="Gotham" w:cs="Gotham" w:eastAsia="Gotham" w:hAnsi="Gotham"/>
          <w:sz w:val="24"/>
          <w:szCs w:val="24"/>
          <w:rtl w:val="0"/>
        </w:rPr>
        <w:t xml:space="preserve">En su caso, el solicitante señalará el formato accesible o la lengua indígena en la que se requiera la información de acuerdo a lo señalado en el artículo 150 de la Ley de Transparencia y Acceso a la Información Pública del Estado de Chiapas.</w:t>
      </w:r>
    </w:p>
    <w:p w:rsidR="00000000" w:rsidDel="00000000" w:rsidP="00000000" w:rsidRDefault="00000000" w:rsidRPr="00000000" w14:paraId="0000000D">
      <w:pPr>
        <w:ind w:firstLine="708"/>
        <w:jc w:val="both"/>
        <w:rPr>
          <w:rFonts w:ascii="Gotham" w:cs="Gotham" w:eastAsia="Gotham" w:hAnsi="Gotham"/>
          <w:sz w:val="24"/>
          <w:szCs w:val="24"/>
        </w:rPr>
      </w:pPr>
      <w:r w:rsidDel="00000000" w:rsidR="00000000" w:rsidRPr="00000000">
        <w:rPr>
          <w:rtl w:val="0"/>
        </w:rPr>
      </w:r>
    </w:p>
    <w:p w:rsidR="00000000" w:rsidDel="00000000" w:rsidP="00000000" w:rsidRDefault="00000000" w:rsidRPr="00000000" w14:paraId="0000000E">
      <w:pPr>
        <w:ind w:firstLine="708"/>
        <w:jc w:val="both"/>
        <w:rPr>
          <w:rFonts w:ascii="Gotham" w:cs="Gotham" w:eastAsia="Gotham" w:hAnsi="Gotham"/>
          <w:sz w:val="24"/>
          <w:szCs w:val="24"/>
        </w:rPr>
      </w:pPr>
      <w:r w:rsidDel="00000000" w:rsidR="00000000" w:rsidRPr="00000000">
        <w:rPr>
          <w:rtl w:val="0"/>
        </w:rPr>
      </w:r>
    </w:p>
    <w:p w:rsidR="00000000" w:rsidDel="00000000" w:rsidP="00000000" w:rsidRDefault="00000000" w:rsidRPr="00000000" w14:paraId="0000000F">
      <w:pPr>
        <w:jc w:val="both"/>
        <w:rPr>
          <w:rFonts w:ascii="Gotham" w:cs="Gotham" w:eastAsia="Gotham" w:hAnsi="Gotham"/>
          <w:b w:val="1"/>
          <w:sz w:val="24"/>
          <w:szCs w:val="24"/>
        </w:rPr>
      </w:pPr>
      <w:r w:rsidDel="00000000" w:rsidR="00000000" w:rsidRPr="00000000">
        <w:rPr>
          <w:rFonts w:ascii="Gotham" w:cs="Gotham" w:eastAsia="Gotham" w:hAnsi="Gotham"/>
          <w:b w:val="1"/>
          <w:sz w:val="24"/>
          <w:szCs w:val="24"/>
          <w:rtl w:val="0"/>
        </w:rPr>
        <w:t xml:space="preserve">NOTA RESPECTO AL CRITERIO COSTO, EN SU CASO ESPECIFICAR QUE ES GRATUITO.</w:t>
      </w:r>
    </w:p>
    <w:p w:rsidR="00000000" w:rsidDel="00000000" w:rsidP="00000000" w:rsidRDefault="00000000" w:rsidRPr="00000000" w14:paraId="00000010">
      <w:pPr>
        <w:ind w:firstLine="708"/>
        <w:jc w:val="both"/>
        <w:rPr>
          <w:rFonts w:ascii="Gotham" w:cs="Gotham" w:eastAsia="Gotham" w:hAnsi="Gotham"/>
          <w:sz w:val="24"/>
          <w:szCs w:val="24"/>
        </w:rPr>
      </w:pPr>
      <w:r w:rsidDel="00000000" w:rsidR="00000000" w:rsidRPr="00000000">
        <w:rPr>
          <w:rFonts w:ascii="Gotham" w:cs="Gotham" w:eastAsia="Gotham" w:hAnsi="Gotham"/>
          <w:sz w:val="24"/>
          <w:szCs w:val="24"/>
          <w:rtl w:val="0"/>
        </w:rPr>
        <w:t xml:space="preserve">El servicio de auxilio y orientación en la elaboración de solicitudes de acceso a la información será gratuito. Sin embargo, esto no establece la gratuidad de la respuesta que reciba el solicitante por parte de la Secretaría de la Honestidad y Función Pública ya que por normatividad administrativa se puede establecer el pago de un derecho por concepto de costos de reproducción y/o envío de la información solicitada de conformidad con el artículo 168 de la Ley de Transparencia y Acceso a la Información Pública del Estado de Chiapas.</w:t>
      </w:r>
    </w:p>
    <w:p w:rsidR="00000000" w:rsidDel="00000000" w:rsidP="00000000" w:rsidRDefault="00000000" w:rsidRPr="00000000" w14:paraId="00000011">
      <w:pPr>
        <w:ind w:firstLine="708"/>
        <w:jc w:val="both"/>
        <w:rPr>
          <w:rFonts w:ascii="Gotham" w:cs="Gotham" w:eastAsia="Gotham" w:hAnsi="Gotham"/>
          <w:sz w:val="24"/>
          <w:szCs w:val="24"/>
        </w:rPr>
      </w:pPr>
      <w:r w:rsidDel="00000000" w:rsidR="00000000" w:rsidRPr="00000000">
        <w:rPr>
          <w:rFonts w:ascii="Gotham" w:cs="Gotham" w:eastAsia="Gotham" w:hAnsi="Gotham"/>
          <w:sz w:val="24"/>
          <w:szCs w:val="24"/>
          <w:rtl w:val="0"/>
        </w:rPr>
        <w:t xml:space="preserve">Para lo expresado en el párrafo anterior; los costos, en su caso, por reproducción se ajustarán a lo establecido en el artículo 50 de la Ley de Derechos del Estado de Chiapas, el cual establece:</w:t>
      </w:r>
    </w:p>
    <w:p w:rsidR="00000000" w:rsidDel="00000000" w:rsidP="00000000" w:rsidRDefault="00000000" w:rsidRPr="00000000" w14:paraId="00000012">
      <w:pPr>
        <w:ind w:firstLine="708"/>
        <w:jc w:val="both"/>
        <w:rPr>
          <w:rFonts w:ascii="Gotham" w:cs="Gotham" w:eastAsia="Gotham" w:hAnsi="Gotham"/>
          <w:sz w:val="24"/>
          <w:szCs w:val="24"/>
        </w:rPr>
      </w:pPr>
      <w:r w:rsidDel="00000000" w:rsidR="00000000" w:rsidRPr="00000000">
        <w:rPr>
          <w:rFonts w:ascii="Gotham" w:cs="Gotham" w:eastAsia="Gotham" w:hAnsi="Gotham"/>
          <w:sz w:val="24"/>
          <w:szCs w:val="24"/>
          <w:rtl w:val="0"/>
        </w:rPr>
        <w:t xml:space="preserve">Tratándose de los servicios que presten los Poderes Legislativo y Ejecutivo, así como los Organismos Autónomos, se causarán y pagarán, por cada uno, los siguientes derechos:</w:t>
      </w:r>
    </w:p>
    <w:tbl>
      <w:tblPr>
        <w:tblStyle w:val="Table1"/>
        <w:tblW w:w="93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621"/>
        <w:gridCol w:w="1754"/>
        <w:tblGridChange w:id="0">
          <w:tblGrid>
            <w:gridCol w:w="7621"/>
            <w:gridCol w:w="1754"/>
          </w:tblGrid>
        </w:tblGridChange>
      </w:tblGrid>
      <w:tr>
        <w:tc>
          <w:tcPr/>
          <w:p w:rsidR="00000000" w:rsidDel="00000000" w:rsidP="00000000" w:rsidRDefault="00000000" w:rsidRPr="00000000" w14:paraId="00000013">
            <w:pPr>
              <w:spacing w:line="360" w:lineRule="auto"/>
              <w:jc w:val="center"/>
              <w:rPr>
                <w:rFonts w:ascii="Gotham" w:cs="Gotham" w:eastAsia="Gotham" w:hAnsi="Gotham"/>
                <w:color w:val="00000a"/>
                <w:sz w:val="24"/>
                <w:szCs w:val="24"/>
              </w:rPr>
            </w:pPr>
            <w:r w:rsidDel="00000000" w:rsidR="00000000" w:rsidRPr="00000000">
              <w:rPr>
                <w:rFonts w:ascii="Gotham" w:cs="Gotham" w:eastAsia="Gotham" w:hAnsi="Gotham"/>
                <w:color w:val="00000a"/>
                <w:sz w:val="24"/>
                <w:szCs w:val="24"/>
                <w:rtl w:val="0"/>
              </w:rPr>
              <w:t xml:space="preserve">Servicios</w:t>
            </w:r>
          </w:p>
        </w:tc>
        <w:tc>
          <w:tcPr/>
          <w:p w:rsidR="00000000" w:rsidDel="00000000" w:rsidP="00000000" w:rsidRDefault="00000000" w:rsidRPr="00000000" w14:paraId="00000014">
            <w:pPr>
              <w:spacing w:line="360" w:lineRule="auto"/>
              <w:jc w:val="center"/>
              <w:rPr>
                <w:rFonts w:ascii="Gotham" w:cs="Gotham" w:eastAsia="Gotham" w:hAnsi="Gotham"/>
                <w:color w:val="00000a"/>
                <w:sz w:val="24"/>
                <w:szCs w:val="24"/>
              </w:rPr>
            </w:pPr>
            <w:r w:rsidDel="00000000" w:rsidR="00000000" w:rsidRPr="00000000">
              <w:rPr>
                <w:rFonts w:ascii="Gotham" w:cs="Gotham" w:eastAsia="Gotham" w:hAnsi="Gotham"/>
                <w:color w:val="00000a"/>
                <w:sz w:val="24"/>
                <w:szCs w:val="24"/>
                <w:rtl w:val="0"/>
              </w:rPr>
              <w:t xml:space="preserve">Tarifa</w:t>
            </w:r>
          </w:p>
        </w:tc>
      </w:tr>
      <w:tr>
        <w:tc>
          <w:tcPr/>
          <w:p w:rsidR="00000000" w:rsidDel="00000000" w:rsidP="00000000" w:rsidRDefault="00000000" w:rsidRPr="00000000" w14:paraId="00000015">
            <w:pPr>
              <w:spacing w:line="360" w:lineRule="auto"/>
              <w:jc w:val="both"/>
              <w:rPr>
                <w:rFonts w:ascii="Gotham" w:cs="Gotham" w:eastAsia="Gotham" w:hAnsi="Gotham"/>
                <w:color w:val="00000a"/>
                <w:sz w:val="24"/>
                <w:szCs w:val="24"/>
              </w:rPr>
            </w:pPr>
            <w:r w:rsidDel="00000000" w:rsidR="00000000" w:rsidRPr="00000000">
              <w:rPr>
                <w:rFonts w:ascii="Gotham" w:cs="Gotham" w:eastAsia="Gotham" w:hAnsi="Gotham"/>
                <w:color w:val="00000a"/>
                <w:sz w:val="24"/>
                <w:szCs w:val="24"/>
                <w:rtl w:val="0"/>
              </w:rPr>
              <w:t xml:space="preserve">I. Por certificación de documentos que expidan, hasta 20 hojas.</w:t>
            </w:r>
          </w:p>
          <w:p w:rsidR="00000000" w:rsidDel="00000000" w:rsidP="00000000" w:rsidRDefault="00000000" w:rsidRPr="00000000" w14:paraId="00000016">
            <w:pPr>
              <w:spacing w:line="360" w:lineRule="auto"/>
              <w:jc w:val="both"/>
              <w:rPr>
                <w:rFonts w:ascii="Gotham" w:cs="Gotham" w:eastAsia="Gotham" w:hAnsi="Gotham"/>
                <w:color w:val="00000a"/>
                <w:sz w:val="24"/>
                <w:szCs w:val="24"/>
              </w:rPr>
            </w:pPr>
            <w:r w:rsidDel="00000000" w:rsidR="00000000" w:rsidRPr="00000000">
              <w:rPr>
                <w:rFonts w:ascii="Gotham" w:cs="Gotham" w:eastAsia="Gotham" w:hAnsi="Gotham"/>
                <w:color w:val="00000a"/>
                <w:sz w:val="24"/>
                <w:szCs w:val="24"/>
                <w:rtl w:val="0"/>
              </w:rPr>
              <w:t xml:space="preserve">Por cada hoja adicional</w:t>
            </w:r>
          </w:p>
        </w:tc>
        <w:tc>
          <w:tcPr/>
          <w:p w:rsidR="00000000" w:rsidDel="00000000" w:rsidP="00000000" w:rsidRDefault="00000000" w:rsidRPr="00000000" w14:paraId="00000017">
            <w:pPr>
              <w:spacing w:line="360" w:lineRule="auto"/>
              <w:rPr>
                <w:rFonts w:ascii="Gotham" w:cs="Gotham" w:eastAsia="Gotham" w:hAnsi="Gotham"/>
                <w:color w:val="00000a"/>
                <w:sz w:val="24"/>
                <w:szCs w:val="24"/>
              </w:rPr>
            </w:pPr>
            <w:r w:rsidDel="00000000" w:rsidR="00000000" w:rsidRPr="00000000">
              <w:rPr>
                <w:rFonts w:ascii="Gotham" w:cs="Gotham" w:eastAsia="Gotham" w:hAnsi="Gotham"/>
                <w:color w:val="00000a"/>
                <w:sz w:val="24"/>
                <w:szCs w:val="24"/>
                <w:rtl w:val="0"/>
              </w:rPr>
              <w:t xml:space="preserve"> $480.00</w:t>
            </w:r>
          </w:p>
          <w:p w:rsidR="00000000" w:rsidDel="00000000" w:rsidP="00000000" w:rsidRDefault="00000000" w:rsidRPr="00000000" w14:paraId="00000018">
            <w:pPr>
              <w:spacing w:line="360" w:lineRule="auto"/>
              <w:rPr>
                <w:rFonts w:ascii="Gotham" w:cs="Gotham" w:eastAsia="Gotham" w:hAnsi="Gotham"/>
                <w:color w:val="00000a"/>
                <w:sz w:val="24"/>
                <w:szCs w:val="24"/>
              </w:rPr>
            </w:pPr>
            <w:r w:rsidDel="00000000" w:rsidR="00000000" w:rsidRPr="00000000">
              <w:rPr>
                <w:rtl w:val="0"/>
              </w:rPr>
            </w:r>
          </w:p>
          <w:p w:rsidR="00000000" w:rsidDel="00000000" w:rsidP="00000000" w:rsidRDefault="00000000" w:rsidRPr="00000000" w14:paraId="00000019">
            <w:pPr>
              <w:spacing w:line="360" w:lineRule="auto"/>
              <w:rPr>
                <w:rFonts w:ascii="Gotham" w:cs="Gotham" w:eastAsia="Gotham" w:hAnsi="Gotham"/>
                <w:color w:val="00000a"/>
                <w:sz w:val="24"/>
                <w:szCs w:val="24"/>
              </w:rPr>
            </w:pPr>
            <w:r w:rsidDel="00000000" w:rsidR="00000000" w:rsidRPr="00000000">
              <w:rPr>
                <w:rFonts w:ascii="Gotham" w:cs="Gotham" w:eastAsia="Gotham" w:hAnsi="Gotham"/>
                <w:color w:val="00000a"/>
                <w:sz w:val="24"/>
                <w:szCs w:val="24"/>
                <w:rtl w:val="0"/>
              </w:rPr>
              <w:t xml:space="preserve">$5.00</w:t>
            </w:r>
          </w:p>
        </w:tc>
      </w:tr>
      <w:tr>
        <w:tc>
          <w:tcPr/>
          <w:p w:rsidR="00000000" w:rsidDel="00000000" w:rsidP="00000000" w:rsidRDefault="00000000" w:rsidRPr="00000000" w14:paraId="0000001A">
            <w:pPr>
              <w:spacing w:line="360" w:lineRule="auto"/>
              <w:jc w:val="both"/>
              <w:rPr>
                <w:rFonts w:ascii="Gotham" w:cs="Gotham" w:eastAsia="Gotham" w:hAnsi="Gotham"/>
                <w:color w:val="00000a"/>
                <w:sz w:val="24"/>
                <w:szCs w:val="24"/>
              </w:rPr>
            </w:pPr>
            <w:r w:rsidDel="00000000" w:rsidR="00000000" w:rsidRPr="00000000">
              <w:rPr>
                <w:rFonts w:ascii="Gotham" w:cs="Gotham" w:eastAsia="Gotham" w:hAnsi="Gotham"/>
                <w:color w:val="00000a"/>
                <w:sz w:val="24"/>
                <w:szCs w:val="24"/>
                <w:rtl w:val="0"/>
              </w:rPr>
              <w:t xml:space="preserve">II. Por la compulsa de documentos, por hoja</w:t>
            </w:r>
          </w:p>
        </w:tc>
        <w:tc>
          <w:tcPr/>
          <w:p w:rsidR="00000000" w:rsidDel="00000000" w:rsidP="00000000" w:rsidRDefault="00000000" w:rsidRPr="00000000" w14:paraId="0000001B">
            <w:pPr>
              <w:spacing w:line="360" w:lineRule="auto"/>
              <w:rPr>
                <w:rFonts w:ascii="Gotham" w:cs="Gotham" w:eastAsia="Gotham" w:hAnsi="Gotham"/>
                <w:color w:val="00000a"/>
                <w:sz w:val="24"/>
                <w:szCs w:val="24"/>
              </w:rPr>
            </w:pPr>
            <w:r w:rsidDel="00000000" w:rsidR="00000000" w:rsidRPr="00000000">
              <w:rPr>
                <w:rFonts w:ascii="Gotham" w:cs="Gotham" w:eastAsia="Gotham" w:hAnsi="Gotham"/>
                <w:color w:val="00000a"/>
                <w:sz w:val="24"/>
                <w:szCs w:val="24"/>
                <w:rtl w:val="0"/>
              </w:rPr>
              <w:t xml:space="preserve">$10.00</w:t>
            </w:r>
          </w:p>
        </w:tc>
      </w:tr>
      <w:tr>
        <w:tc>
          <w:tcPr/>
          <w:p w:rsidR="00000000" w:rsidDel="00000000" w:rsidP="00000000" w:rsidRDefault="00000000" w:rsidRPr="00000000" w14:paraId="0000001C">
            <w:pPr>
              <w:spacing w:line="360" w:lineRule="auto"/>
              <w:jc w:val="both"/>
              <w:rPr>
                <w:rFonts w:ascii="Gotham" w:cs="Gotham" w:eastAsia="Gotham" w:hAnsi="Gotham"/>
                <w:color w:val="00000a"/>
                <w:sz w:val="24"/>
                <w:szCs w:val="24"/>
              </w:rPr>
            </w:pPr>
            <w:r w:rsidDel="00000000" w:rsidR="00000000" w:rsidRPr="00000000">
              <w:rPr>
                <w:rFonts w:ascii="Gotham" w:cs="Gotham" w:eastAsia="Gotham" w:hAnsi="Gotham"/>
                <w:color w:val="00000a"/>
                <w:sz w:val="24"/>
                <w:szCs w:val="24"/>
                <w:rtl w:val="0"/>
              </w:rPr>
              <w:t xml:space="preserve">III. Por cada copia de planos certificados.</w:t>
            </w:r>
          </w:p>
        </w:tc>
        <w:tc>
          <w:tcPr/>
          <w:p w:rsidR="00000000" w:rsidDel="00000000" w:rsidP="00000000" w:rsidRDefault="00000000" w:rsidRPr="00000000" w14:paraId="0000001D">
            <w:pPr>
              <w:spacing w:line="360" w:lineRule="auto"/>
              <w:rPr>
                <w:rFonts w:ascii="Gotham" w:cs="Gotham" w:eastAsia="Gotham" w:hAnsi="Gotham"/>
                <w:color w:val="00000a"/>
                <w:sz w:val="24"/>
                <w:szCs w:val="24"/>
              </w:rPr>
            </w:pPr>
            <w:r w:rsidDel="00000000" w:rsidR="00000000" w:rsidRPr="00000000">
              <w:rPr>
                <w:rFonts w:ascii="Gotham" w:cs="Gotham" w:eastAsia="Gotham" w:hAnsi="Gotham"/>
                <w:color w:val="00000a"/>
                <w:sz w:val="24"/>
                <w:szCs w:val="24"/>
                <w:rtl w:val="0"/>
              </w:rPr>
              <w:t xml:space="preserve">$150.00</w:t>
            </w:r>
          </w:p>
        </w:tc>
      </w:tr>
      <w:tr>
        <w:tc>
          <w:tcPr/>
          <w:p w:rsidR="00000000" w:rsidDel="00000000" w:rsidP="00000000" w:rsidRDefault="00000000" w:rsidRPr="00000000" w14:paraId="0000001E">
            <w:pPr>
              <w:spacing w:line="360" w:lineRule="auto"/>
              <w:jc w:val="both"/>
              <w:rPr>
                <w:rFonts w:ascii="Gotham" w:cs="Gotham" w:eastAsia="Gotham" w:hAnsi="Gotham"/>
                <w:color w:val="00000a"/>
                <w:sz w:val="24"/>
                <w:szCs w:val="24"/>
              </w:rPr>
            </w:pPr>
            <w:r w:rsidDel="00000000" w:rsidR="00000000" w:rsidRPr="00000000">
              <w:rPr>
                <w:rFonts w:ascii="Gotham" w:cs="Gotham" w:eastAsia="Gotham" w:hAnsi="Gotham"/>
                <w:color w:val="00000a"/>
                <w:sz w:val="24"/>
                <w:szCs w:val="24"/>
                <w:rtl w:val="0"/>
              </w:rPr>
              <w:t xml:space="preserve">IV. Por la legalización de firmas.</w:t>
            </w:r>
          </w:p>
        </w:tc>
        <w:tc>
          <w:tcPr/>
          <w:p w:rsidR="00000000" w:rsidDel="00000000" w:rsidP="00000000" w:rsidRDefault="00000000" w:rsidRPr="00000000" w14:paraId="0000001F">
            <w:pPr>
              <w:spacing w:line="360" w:lineRule="auto"/>
              <w:rPr>
                <w:rFonts w:ascii="Gotham" w:cs="Gotham" w:eastAsia="Gotham" w:hAnsi="Gotham"/>
                <w:color w:val="00000a"/>
                <w:sz w:val="24"/>
                <w:szCs w:val="24"/>
              </w:rPr>
            </w:pPr>
            <w:r w:rsidDel="00000000" w:rsidR="00000000" w:rsidRPr="00000000">
              <w:rPr>
                <w:rFonts w:ascii="Gotham" w:cs="Gotham" w:eastAsia="Gotham" w:hAnsi="Gotham"/>
                <w:color w:val="00000a"/>
                <w:sz w:val="24"/>
                <w:szCs w:val="24"/>
                <w:rtl w:val="0"/>
              </w:rPr>
              <w:t xml:space="preserve">$550.00</w:t>
            </w:r>
          </w:p>
        </w:tc>
      </w:tr>
      <w:tr>
        <w:tc>
          <w:tcPr/>
          <w:p w:rsidR="00000000" w:rsidDel="00000000" w:rsidP="00000000" w:rsidRDefault="00000000" w:rsidRPr="00000000" w14:paraId="00000020">
            <w:pPr>
              <w:spacing w:line="360" w:lineRule="auto"/>
              <w:jc w:val="both"/>
              <w:rPr>
                <w:rFonts w:ascii="Gotham" w:cs="Gotham" w:eastAsia="Gotham" w:hAnsi="Gotham"/>
                <w:color w:val="00000a"/>
                <w:sz w:val="24"/>
                <w:szCs w:val="24"/>
              </w:rPr>
            </w:pPr>
            <w:r w:rsidDel="00000000" w:rsidR="00000000" w:rsidRPr="00000000">
              <w:rPr>
                <w:rFonts w:ascii="Gotham" w:cs="Gotham" w:eastAsia="Gotham" w:hAnsi="Gotham"/>
                <w:color w:val="00000a"/>
                <w:sz w:val="24"/>
                <w:szCs w:val="24"/>
                <w:rtl w:val="0"/>
              </w:rPr>
              <w:t xml:space="preserve">V. Por cualquier otra certificación o expedición de constancias distintas de las señaladas en las fracciones que anteceden.</w:t>
            </w:r>
          </w:p>
        </w:tc>
        <w:tc>
          <w:tcPr/>
          <w:p w:rsidR="00000000" w:rsidDel="00000000" w:rsidP="00000000" w:rsidRDefault="00000000" w:rsidRPr="00000000" w14:paraId="00000021">
            <w:pPr>
              <w:spacing w:line="360" w:lineRule="auto"/>
              <w:rPr>
                <w:rFonts w:ascii="Gotham" w:cs="Gotham" w:eastAsia="Gotham" w:hAnsi="Gotham"/>
                <w:color w:val="00000a"/>
                <w:sz w:val="24"/>
                <w:szCs w:val="24"/>
              </w:rPr>
            </w:pPr>
            <w:r w:rsidDel="00000000" w:rsidR="00000000" w:rsidRPr="00000000">
              <w:rPr>
                <w:rFonts w:ascii="Gotham" w:cs="Gotham" w:eastAsia="Gotham" w:hAnsi="Gotham"/>
                <w:color w:val="00000a"/>
                <w:sz w:val="24"/>
                <w:szCs w:val="24"/>
                <w:rtl w:val="0"/>
              </w:rPr>
              <w:t xml:space="preserve">$300.00</w:t>
            </w:r>
          </w:p>
        </w:tc>
      </w:tr>
      <w:tr>
        <w:tc>
          <w:tcPr/>
          <w:p w:rsidR="00000000" w:rsidDel="00000000" w:rsidP="00000000" w:rsidRDefault="00000000" w:rsidRPr="00000000" w14:paraId="00000022">
            <w:pPr>
              <w:spacing w:line="360" w:lineRule="auto"/>
              <w:jc w:val="both"/>
              <w:rPr>
                <w:rFonts w:ascii="Gotham" w:cs="Gotham" w:eastAsia="Gotham" w:hAnsi="Gotham"/>
                <w:color w:val="00000a"/>
                <w:sz w:val="24"/>
                <w:szCs w:val="24"/>
              </w:rPr>
            </w:pPr>
            <w:r w:rsidDel="00000000" w:rsidR="00000000" w:rsidRPr="00000000">
              <w:rPr>
                <w:rFonts w:ascii="Gotham" w:cs="Gotham" w:eastAsia="Gotham" w:hAnsi="Gotham"/>
                <w:color w:val="00000a"/>
                <w:sz w:val="24"/>
                <w:szCs w:val="24"/>
                <w:rtl w:val="0"/>
              </w:rPr>
              <w:t xml:space="preserve">VI. Por la ratificación de firmas en documentos privados ante autoridades estatales.</w:t>
            </w:r>
          </w:p>
        </w:tc>
        <w:tc>
          <w:tcPr/>
          <w:p w:rsidR="00000000" w:rsidDel="00000000" w:rsidP="00000000" w:rsidRDefault="00000000" w:rsidRPr="00000000" w14:paraId="00000023">
            <w:pPr>
              <w:spacing w:line="360" w:lineRule="auto"/>
              <w:rPr>
                <w:rFonts w:ascii="Gotham" w:cs="Gotham" w:eastAsia="Gotham" w:hAnsi="Gotham"/>
                <w:color w:val="00000a"/>
                <w:sz w:val="24"/>
                <w:szCs w:val="24"/>
              </w:rPr>
            </w:pPr>
            <w:r w:rsidDel="00000000" w:rsidR="00000000" w:rsidRPr="00000000">
              <w:rPr>
                <w:rFonts w:ascii="Gotham" w:cs="Gotham" w:eastAsia="Gotham" w:hAnsi="Gotham"/>
                <w:color w:val="00000a"/>
                <w:sz w:val="24"/>
                <w:szCs w:val="24"/>
                <w:rtl w:val="0"/>
              </w:rPr>
              <w:t xml:space="preserve">$600.00</w:t>
            </w:r>
          </w:p>
        </w:tc>
      </w:tr>
    </w:tbl>
    <w:p w:rsidR="00000000" w:rsidDel="00000000" w:rsidP="00000000" w:rsidRDefault="00000000" w:rsidRPr="00000000" w14:paraId="00000024">
      <w:pPr>
        <w:ind w:firstLine="708"/>
        <w:jc w:val="both"/>
        <w:rPr>
          <w:rFonts w:ascii="Gotham" w:cs="Gotham" w:eastAsia="Gotham" w:hAnsi="Gotham"/>
          <w:sz w:val="24"/>
          <w:szCs w:val="24"/>
        </w:rPr>
      </w:pPr>
      <w:r w:rsidDel="00000000" w:rsidR="00000000" w:rsidRPr="00000000">
        <w:rPr>
          <w:rtl w:val="0"/>
        </w:rPr>
      </w:r>
    </w:p>
    <w:p w:rsidR="00000000" w:rsidDel="00000000" w:rsidP="00000000" w:rsidRDefault="00000000" w:rsidRPr="00000000" w14:paraId="00000025">
      <w:pPr>
        <w:ind w:firstLine="708"/>
        <w:jc w:val="both"/>
        <w:rPr>
          <w:rFonts w:ascii="Gotham" w:cs="Gotham" w:eastAsia="Gotham" w:hAnsi="Gotham"/>
          <w:sz w:val="24"/>
          <w:szCs w:val="24"/>
        </w:rPr>
      </w:pPr>
      <w:r w:rsidDel="00000000" w:rsidR="00000000" w:rsidRPr="00000000">
        <w:rPr>
          <w:rFonts w:ascii="Gotham" w:cs="Gotham" w:eastAsia="Gotham" w:hAnsi="Gotham"/>
          <w:sz w:val="24"/>
          <w:szCs w:val="24"/>
          <w:rtl w:val="0"/>
        </w:rPr>
        <w:t xml:space="preserve">Para efectos de que el solicitante requiera que la información le sea enviada físicamente a determinado sitio, la Secretaría de la Honestidad y Función Pública General procurará usar los servicios de Correo y Mensajería del Servicio Postal Mexicano, salvo que el solicitante disponga otro servicio de mensajería para tal efecto. En consecuencia los costos generados por dicho concepto serán las que establezca el prestador de servicios de mensajería elegido por el solicitante.</w:t>
      </w:r>
    </w:p>
    <w:p w:rsidR="00000000" w:rsidDel="00000000" w:rsidP="00000000" w:rsidRDefault="00000000" w:rsidRPr="00000000" w14:paraId="00000026">
      <w:pPr>
        <w:rPr/>
      </w:pPr>
      <w:bookmarkStart w:colFirst="0" w:colLast="0" w:name="_heading=h.gjdgxs" w:id="0"/>
      <w:bookmarkEnd w:id="0"/>
      <w:r w:rsidDel="00000000" w:rsidR="00000000" w:rsidRPr="00000000">
        <w:rPr>
          <w:rtl w:val="0"/>
        </w:rPr>
      </w:r>
    </w:p>
    <w:sectPr>
      <w:headerReference r:id="rId7" w:type="default"/>
      <w:footerReference r:id="rId8" w:type="default"/>
      <w:pgSz w:h="15840" w:w="12240" w:orient="portrait"/>
      <w:pgMar w:bottom="1417" w:top="2654" w:left="1701" w:right="1183" w:header="708" w:footer="1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otham"/>
  <w:font w:name="Gandhi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-1193799</wp:posOffset>
              </wp:positionH>
              <wp:positionV relativeFrom="paragraph">
                <wp:posOffset>228600</wp:posOffset>
              </wp:positionV>
              <wp:extent cx="7010400" cy="685800"/>
              <wp:effectExtent b="0" l="0" r="0" t="0"/>
              <wp:wrapNone/>
              <wp:docPr id="4" name=""/>
              <a:graphic>
                <a:graphicData uri="http://schemas.microsoft.com/office/word/2010/wordprocessingGroup">
                  <wpg:wgp>
                    <wpg:cNvGrpSpPr/>
                    <wpg:grpSpPr>
                      <a:xfrm>
                        <a:off x="1840800" y="3437100"/>
                        <a:ext cx="7010400" cy="685800"/>
                        <a:chOff x="1840800" y="3437100"/>
                        <a:chExt cx="7010400" cy="685800"/>
                      </a:xfrm>
                    </wpg:grpSpPr>
                    <wpg:grpSp>
                      <wpg:cNvGrpSpPr/>
                      <wpg:grpSpPr>
                        <a:xfrm>
                          <a:off x="1840800" y="3437100"/>
                          <a:ext cx="7010400" cy="685800"/>
                          <a:chOff x="-11" y="13229"/>
                          <a:chExt cx="11040" cy="1080"/>
                        </a:xfrm>
                      </wpg:grpSpPr>
                      <wps:wsp>
                        <wps:cNvSpPr/>
                        <wps:cNvPr id="3" name="Shape 3"/>
                        <wps:spPr>
                          <a:xfrm>
                            <a:off x="-11" y="13229"/>
                            <a:ext cx="11025" cy="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1" y="13229"/>
                            <a:ext cx="8985" cy="960"/>
                          </a:xfrm>
                          <a:prstGeom prst="rect">
                            <a:avLst/>
                          </a:prstGeom>
                          <a:solidFill>
                            <a:srgbClr val="33333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02" y="13354"/>
                            <a:ext cx="10527" cy="95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Gandhi Serif" w:cs="Gandhi Serif" w:eastAsia="Gandhi Serif" w:hAnsi="Gandhi Serif"/>
                                  <w:b w:val="0"/>
                                  <w:i w:val="0"/>
                                  <w:smallCaps w:val="0"/>
                                  <w:strike w:val="0"/>
                                  <w:color w:val="ffffff"/>
                                  <w:sz w:val="18"/>
                                  <w:vertAlign w:val="baseline"/>
                                </w:rPr>
                                <w:t xml:space="preserve">Blvd. Los Castillos No. 410, Fracc. Villa Montes Azules C.P. 29056, Tuxtla Gutiérrez, Chiapas. Conmutador: 01(961) 61 8 75 30 Teléfono: Quejas y denuncias 01-800-900-9000www.shyfpchiapas.gob.mx</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-1193799</wp:posOffset>
              </wp:positionH>
              <wp:positionV relativeFrom="paragraph">
                <wp:posOffset>228600</wp:posOffset>
              </wp:positionV>
              <wp:extent cx="7010400" cy="685800"/>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010400" cy="6858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Gandhi Serif" w:cs="Gandhi Serif" w:eastAsia="Gandhi Serif" w:hAnsi="Gandhi Serif"/>
        <w:b w:val="1"/>
        <w:i w:val="0"/>
        <w:smallCaps w:val="0"/>
        <w:strike w:val="0"/>
        <w:color w:val="000000"/>
        <w:sz w:val="22"/>
        <w:szCs w:val="22"/>
        <w:u w:val="none"/>
        <w:shd w:fill="auto" w:val="clear"/>
        <w:vertAlign w:val="baseline"/>
      </w:rPr>
    </w:pPr>
    <w:r w:rsidDel="00000000" w:rsidR="00000000" w:rsidRPr="00000000">
      <w:rPr>
        <w:rFonts w:ascii="Gandhi Serif" w:cs="Gandhi Serif" w:eastAsia="Gandhi Serif" w:hAnsi="Gandhi Serif"/>
        <w:b w:val="1"/>
        <w:i w:val="0"/>
        <w:smallCaps w:val="0"/>
        <w:strike w:val="0"/>
        <w:color w:val="000000"/>
        <w:sz w:val="28"/>
        <w:szCs w:val="28"/>
        <w:u w:val="none"/>
        <w:shd w:fill="auto" w:val="clear"/>
        <w:vertAlign w:val="baseline"/>
        <w:rtl w:val="0"/>
      </w:rPr>
      <w:t xml:space="preserve">Unidad de Transparencia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-499109</wp:posOffset>
          </wp:positionH>
          <wp:positionV relativeFrom="paragraph">
            <wp:posOffset>-173354</wp:posOffset>
          </wp:positionV>
          <wp:extent cx="2747010" cy="106680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47010" cy="1066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011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30111"/>
  </w:style>
  <w:style w:type="paragraph" w:styleId="Piedepgina">
    <w:name w:val="footer"/>
    <w:basedOn w:val="Normal"/>
    <w:link w:val="PiedepginaCar"/>
    <w:uiPriority w:val="99"/>
    <w:unhideWhenUsed w:val="1"/>
    <w:rsid w:val="0093011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30111"/>
  </w:style>
  <w:style w:type="paragraph" w:styleId="Textodeglobo">
    <w:name w:val="Balloon Text"/>
    <w:basedOn w:val="Normal"/>
    <w:link w:val="TextodegloboCar"/>
    <w:uiPriority w:val="99"/>
    <w:semiHidden w:val="1"/>
    <w:unhideWhenUsed w:val="1"/>
    <w:rsid w:val="00930111"/>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30111"/>
    <w:rPr>
      <w:rFonts w:ascii="Tahoma" w:cs="Tahoma" w:hAnsi="Tahoma"/>
      <w:sz w:val="16"/>
      <w:szCs w:val="16"/>
    </w:rPr>
  </w:style>
  <w:style w:type="table" w:styleId="Tablaconcuadrcula1" w:customStyle="1">
    <w:name w:val="Tabla con cuadrícula1"/>
    <w:basedOn w:val="Tablanormal"/>
    <w:next w:val="Tablaconcuadrcula"/>
    <w:uiPriority w:val="59"/>
    <w:rsid w:val="00CB3D2B"/>
    <w:pPr>
      <w:spacing w:after="0" w:line="240" w:lineRule="auto"/>
    </w:pPr>
    <w:rPr>
      <w:rFonts w:eastAsia="Calibri"/>
      <w:sz w:val="20"/>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aconcuadrcula">
    <w:name w:val="Table Grid"/>
    <w:basedOn w:val="Tablanormal"/>
    <w:uiPriority w:val="59"/>
    <w:rsid w:val="00CB3D2B"/>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zTdOSn8/evYT+EHboAUtdunhPQ==">AMUW2mW3qGncmsiZa/s19X6JeFo7hMMVqBQJn7LcUcsvV2ioAWhLcda7aAEkh71PHkSjpHnyVxUsSHVzUuajSU1AoRK3Rv9jZzG9XZ25XrS42E1gjWts1uIQrFBQrVqK2EZa8GqE+kjH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2019-01-04T18:59:00Z</dcterms:created>
  <dc:creator>edith</dc:creator>
</cp:coreProperties>
</file>